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455889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455889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966566"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F2" w:rsidRPr="003B26E0" w:rsidRDefault="00822B8C" w:rsidP="0036162C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63186C" w:rsidP="00E364CB">
      <w:pPr>
        <w:pStyle w:val="a3"/>
        <w:tabs>
          <w:tab w:val="left" w:pos="8222"/>
        </w:tabs>
        <w:ind w:right="155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84AF2" w:rsidRPr="003B26E0" w:rsidRDefault="0063186C" w:rsidP="00966566">
      <w:pPr>
        <w:pStyle w:val="a3"/>
        <w:tabs>
          <w:tab w:val="left" w:pos="7513"/>
          <w:tab w:val="left" w:pos="8222"/>
        </w:tabs>
        <w:spacing w:line="276" w:lineRule="auto"/>
        <w:ind w:right="2266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294EEF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4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566" w:rsidRPr="00966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566" w:rsidRPr="00621978">
        <w:rPr>
          <w:rFonts w:ascii="Times New Roman" w:eastAsia="Times New Roman" w:hAnsi="Times New Roman" w:cs="Times New Roman"/>
          <w:sz w:val="28"/>
          <w:szCs w:val="28"/>
        </w:rPr>
        <w:t>принятия уведомлений, связанных со сносом объектов капитального строительства</w:t>
      </w:r>
      <w:r w:rsidR="00294EEF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AF2" w:rsidRPr="003B26E0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262050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     </w:t>
      </w:r>
      <w:r w:rsidR="00966566" w:rsidRPr="00621978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2F7D06" w:rsidRPr="003B26E0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>- Балкарской Республики</w:t>
      </w:r>
      <w:r w:rsidR="00966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E364CB" w:rsidRDefault="00DB46EE" w:rsidP="003F7B3C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E0">
        <w:rPr>
          <w:rFonts w:ascii="Times New Roman" w:hAnsi="Times New Roman" w:cs="Times New Roman"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014255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966566" w:rsidRPr="00621978">
        <w:rPr>
          <w:rFonts w:ascii="Times New Roman" w:eastAsia="Times New Roman" w:hAnsi="Times New Roman" w:cs="Times New Roman"/>
          <w:sz w:val="28"/>
          <w:szCs w:val="28"/>
        </w:rPr>
        <w:t>орядок принятия уведомлений, связанных со сносом объектов капитального строительства (далее - Порядок),</w:t>
      </w:r>
      <w:r w:rsidR="0001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014255" w:rsidRPr="00621978" w:rsidRDefault="00014255" w:rsidP="00014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Установить, что положения Порядка об идентификац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014255" w:rsidRPr="003B26E0" w:rsidRDefault="00014255" w:rsidP="0001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</w:t>
      </w:r>
    </w:p>
    <w:p w:rsidR="002F7D06" w:rsidRDefault="00014255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014255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014255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Pr="003B26E0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E43EAE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287DC6" w:rsidRPr="003B26E0" w:rsidRDefault="00966566" w:rsidP="00E43EAE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Кушх</w:t>
      </w:r>
      <w:r w:rsidR="00D63298">
        <w:rPr>
          <w:rFonts w:ascii="Times New Roman" w:hAnsi="Times New Roman" w:cs="Times New Roman"/>
          <w:sz w:val="27"/>
          <w:szCs w:val="27"/>
        </w:rPr>
        <w:t xml:space="preserve">овой  </w:t>
      </w:r>
      <w:r>
        <w:rPr>
          <w:rFonts w:ascii="Times New Roman" w:hAnsi="Times New Roman" w:cs="Times New Roman"/>
          <w:sz w:val="27"/>
          <w:szCs w:val="27"/>
        </w:rPr>
        <w:t>А.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М.             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63298">
        <w:rPr>
          <w:rFonts w:ascii="Times New Roman" w:hAnsi="Times New Roman" w:cs="Times New Roman"/>
          <w:sz w:val="27"/>
          <w:szCs w:val="27"/>
        </w:rPr>
        <w:t xml:space="preserve">   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058FB" w:rsidRPr="003B26E0" w:rsidRDefault="00F058FB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354C6" w:rsidRPr="003B26E0" w:rsidRDefault="006522A7" w:rsidP="006522A7">
      <w:pPr>
        <w:pStyle w:val="a3"/>
        <w:tabs>
          <w:tab w:val="left" w:pos="6810"/>
        </w:tabs>
        <w:spacing w:line="276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66566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75627" w:rsidRPr="003B26E0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</w:t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F7D06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66566" w:rsidRPr="00014255" w:rsidRDefault="00A30128" w:rsidP="000A53DD">
      <w:pPr>
        <w:pStyle w:val="ConsPlusNormal"/>
        <w:ind w:left="284" w:righ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25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14255" w:rsidRDefault="00014255" w:rsidP="000A53DD">
      <w:pPr>
        <w:pStyle w:val="ConsPlusNormal"/>
        <w:ind w:left="284" w:righ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978">
        <w:rPr>
          <w:rFonts w:ascii="Times New Roman" w:hAnsi="Times New Roman" w:cs="Times New Roman"/>
          <w:sz w:val="28"/>
          <w:szCs w:val="28"/>
        </w:rPr>
        <w:t xml:space="preserve">принятия уведомлений,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21978">
        <w:rPr>
          <w:rFonts w:ascii="Times New Roman" w:hAnsi="Times New Roman" w:cs="Times New Roman"/>
          <w:sz w:val="28"/>
          <w:szCs w:val="28"/>
        </w:rPr>
        <w:t>со сносом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7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966566" w:rsidRDefault="00966566" w:rsidP="000A53DD">
      <w:pPr>
        <w:pStyle w:val="ConsPlusNormal"/>
        <w:ind w:left="284" w:righ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3EA" w:rsidRPr="00621978" w:rsidRDefault="008F43EA" w:rsidP="008F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3EA" w:rsidRPr="00621978" w:rsidRDefault="008F43EA" w:rsidP="008F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1.2. Заявителем является застройщик или технический заказчик (далее - Заявитель).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1.3. Уведомление подается по форме, утвержденной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189">
        <w:rPr>
          <w:rFonts w:ascii="Times New Roman" w:eastAsia="Times New Roman" w:hAnsi="Times New Roman" w:cs="Times New Roman"/>
          <w:sz w:val="28"/>
          <w:szCs w:val="28"/>
        </w:rPr>
        <w:t>Минстроя России от 24.01.2019 №</w:t>
      </w:r>
      <w:r>
        <w:rPr>
          <w:rFonts w:ascii="Times New Roman" w:eastAsia="Times New Roman" w:hAnsi="Times New Roman" w:cs="Times New Roman"/>
          <w:sz w:val="28"/>
          <w:szCs w:val="28"/>
        </w:rPr>
        <w:t>34/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может быть подано на бумажном носителе посредством личного обращения в </w:t>
      </w:r>
      <w:r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3B26E0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Администрация)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, в электронной форме посредством Единого портала государственных и муниципальных услуг (функций) (www.gosuslugi.ru) (далее - Еди</w:t>
      </w:r>
      <w:r>
        <w:rPr>
          <w:rFonts w:ascii="Times New Roman" w:eastAsia="Times New Roman" w:hAnsi="Times New Roman" w:cs="Times New Roman"/>
          <w:sz w:val="28"/>
          <w:szCs w:val="28"/>
        </w:rPr>
        <w:t>ный портал) или интернет-сайта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Портал услуг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 или почтового отправления, путем личного обращения Заявителя в государственное автономное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в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Республике»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  <w:proofErr w:type="gramEnd"/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решения либо обязательства);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7) почтовый адрес и (или) адрес электронной почты для связи с Заявителем.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1.6. Перечень документов, предоставляемых Заявителем (далее - Документы):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1.6.1. К уведомлению о планируемом сносе прилагаются: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1.6.2. К уведомлению о завершении сноса прилагаются: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  <w:proofErr w:type="gramEnd"/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8F43EA" w:rsidRPr="00621978" w:rsidRDefault="008F43EA" w:rsidP="008F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43EA" w:rsidRPr="00621978" w:rsidRDefault="008F43EA" w:rsidP="008F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II. Общие требования к направлению Уведомления и Документам,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3EA" w:rsidRPr="00621978" w:rsidRDefault="008F43EA" w:rsidP="008F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предоставляемым Заявителем в электронном виде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3EA" w:rsidRPr="00621978" w:rsidRDefault="008F43EA" w:rsidP="008F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</w:t>
      </w:r>
      <w:r w:rsidR="00695C46">
        <w:rPr>
          <w:rFonts w:ascii="Times New Roman" w:eastAsia="Times New Roman" w:hAnsi="Times New Roman" w:cs="Times New Roman"/>
          <w:sz w:val="28"/>
          <w:szCs w:val="28"/>
        </w:rPr>
        <w:t>5.06.2012 №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 от 22.12.2012 № 1376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режимов: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черно-белый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цветной</w:t>
      </w:r>
      <w:r>
        <w:rPr>
          <w:rFonts w:ascii="Times New Roman" w:eastAsia="Times New Roman" w:hAnsi="Times New Roman" w:cs="Times New Roman"/>
          <w:sz w:val="28"/>
          <w:szCs w:val="28"/>
        </w:rPr>
        <w:t>» или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режим полной цветопередачи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621978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, формируются в виде отдельного документа, представляемого в электронной форме. </w:t>
      </w:r>
    </w:p>
    <w:p w:rsidR="008F43EA" w:rsidRPr="00621978" w:rsidRDefault="008F43EA" w:rsidP="008F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43EA" w:rsidRPr="00621978" w:rsidRDefault="008F43EA" w:rsidP="008F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принятия Уведомлений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3EA" w:rsidRPr="00621978" w:rsidRDefault="008F43EA" w:rsidP="008F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3.1. Пр</w:t>
      </w:r>
      <w:r w:rsidR="00695C46">
        <w:rPr>
          <w:rFonts w:ascii="Times New Roman" w:eastAsia="Times New Roman" w:hAnsi="Times New Roman" w:cs="Times New Roman"/>
          <w:sz w:val="28"/>
          <w:szCs w:val="28"/>
        </w:rPr>
        <w:t>ием Уведомлений осуществляется А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обратившегося Заявителя способами, предусмотренными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27.07.2010 № 210-ФЗ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б) информирует Заявителя о порядке и сроках рассмотрения Уведомления;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документов, которые в силу пункта 1.6 Порядка Заявитель должен предоставить самостоятельно (далее - Документы); </w:t>
      </w:r>
      <w:proofErr w:type="gramEnd"/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г) обеспечивает изготовление копий с представленных Заявителем (представителем Заявителя) оригиналов документов, предусмотренных частью 6 статьи 7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 27.07.2010 № 210-ФЗ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2B7FF6">
        <w:rPr>
          <w:rFonts w:ascii="Times New Roman" w:hAnsi="Times New Roman" w:cs="Times New Roman"/>
          <w:sz w:val="28"/>
          <w:szCs w:val="28"/>
        </w:rPr>
        <w:t>О</w:t>
      </w:r>
      <w:r w:rsidR="002B7FF6" w:rsidRPr="002B7FF6">
        <w:rPr>
          <w:rFonts w:ascii="Times New Roman" w:hAnsi="Times New Roman" w:cs="Times New Roman"/>
          <w:sz w:val="28"/>
          <w:szCs w:val="28"/>
        </w:rPr>
        <w:t>тдела по вопросам жизнеобеспечения, агропромышленного комплекса и охраны окружающей среды  местной администрации городского поселения Залукокоаже Зольского муниципального района КБР</w:t>
      </w:r>
      <w:r w:rsidRPr="002B7F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B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Pr="002B7FF6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  <w:proofErr w:type="gramEnd"/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Pr="002B7FF6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почты, указанные в Уведомлении для связи.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либо посредством внутриведомственного взаимодействия со структурными подразделениями Администрации в следующие органы и организации: </w:t>
      </w:r>
      <w:proofErr w:type="gramEnd"/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1) в Федеральную службу государственной регистрации, кадастра и картографии,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земельных и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правоустанавливающих документов на земельный участок;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2) в Федеральную налоговую службу о предоставлении сведений: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3) в органы опеки и попечительства о предоставлении: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- сведений из приказа (постановления) об </w:t>
      </w:r>
      <w:proofErr w:type="gramStart"/>
      <w:r w:rsidRPr="00621978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proofErr w:type="gramEnd"/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4) в Управление Министерства внутренних 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Кабардино-Балкарской Республике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При личном предоставлении Заявителем правоустанавливающих документов межведомственные запросы об их предоставлении в Федеральную службу государственной регистрации, кадастра и картографии,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земельных и имущественных отношений Кабардино-Балкарской Республики 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не направляются.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б) представленные Документы утратили силу на день направления Уведомления;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>е) выявлено несоблюдение установленных статьей 11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ерального закона от 06.04.2011 № 63-ФЗ «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8F43EA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Департамент регионального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надзора Министерства строительства и жилищно-коммунального хозяйства Кабардино-Балкарской Республик или </w:t>
      </w:r>
      <w:proofErr w:type="spellStart"/>
      <w:r w:rsidRPr="002B45AF">
        <w:rPr>
          <w:rFonts w:ascii="Times New Roman" w:eastAsia="Times New Roman" w:hAnsi="Times New Roman" w:cs="Times New Roman"/>
          <w:sz w:val="28"/>
          <w:szCs w:val="28"/>
        </w:rPr>
        <w:t>Северо-Кавказское</w:t>
      </w:r>
      <w:proofErr w:type="spellEnd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proofErr w:type="gramEnd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надзору. </w:t>
      </w:r>
    </w:p>
    <w:p w:rsidR="008F43EA" w:rsidRPr="00621978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8F43EA" w:rsidRDefault="008F43EA" w:rsidP="008F43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</w:t>
      </w:r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регионального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надзора Министерства строительства и жилищно-коммунального хозяйства Кабардино-Балкарской Республик или </w:t>
      </w:r>
      <w:proofErr w:type="spellStart"/>
      <w:r w:rsidRPr="002B45AF">
        <w:rPr>
          <w:rFonts w:ascii="Times New Roman" w:eastAsia="Times New Roman" w:hAnsi="Times New Roman" w:cs="Times New Roman"/>
          <w:sz w:val="28"/>
          <w:szCs w:val="28"/>
        </w:rPr>
        <w:t>Северо-Кавказское</w:t>
      </w:r>
      <w:proofErr w:type="spellEnd"/>
      <w:r w:rsidRPr="002B45AF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по экологическому, технологическому и атомному надзору. </w:t>
      </w:r>
    </w:p>
    <w:p w:rsidR="00966566" w:rsidRDefault="00966566" w:rsidP="000A53DD">
      <w:pPr>
        <w:pStyle w:val="ConsPlusNormal"/>
        <w:ind w:left="284" w:righ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566" w:rsidRDefault="00966566" w:rsidP="000A53DD">
      <w:pPr>
        <w:pStyle w:val="ConsPlusNormal"/>
        <w:ind w:left="284" w:righ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66566" w:rsidSect="00014255">
      <w:footerReference w:type="default" r:id="rId9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DE" w:rsidRDefault="000506DE" w:rsidP="00F41600">
      <w:pPr>
        <w:spacing w:after="0" w:line="240" w:lineRule="auto"/>
      </w:pPr>
      <w:r>
        <w:separator/>
      </w:r>
    </w:p>
  </w:endnote>
  <w:endnote w:type="continuationSeparator" w:id="0">
    <w:p w:rsidR="000506DE" w:rsidRDefault="000506DE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455889">
        <w:pPr>
          <w:pStyle w:val="ae"/>
          <w:jc w:val="center"/>
        </w:pPr>
        <w:fldSimple w:instr=" PAGE   \* MERGEFORMAT ">
          <w:r w:rsidR="00926189">
            <w:rPr>
              <w:noProof/>
            </w:rPr>
            <w:t>3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DE" w:rsidRDefault="000506DE" w:rsidP="00F41600">
      <w:pPr>
        <w:spacing w:after="0" w:line="240" w:lineRule="auto"/>
      </w:pPr>
      <w:r>
        <w:separator/>
      </w:r>
    </w:p>
  </w:footnote>
  <w:footnote w:type="continuationSeparator" w:id="0">
    <w:p w:rsidR="000506DE" w:rsidRDefault="000506DE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12DC1"/>
    <w:multiLevelType w:val="hybridMultilevel"/>
    <w:tmpl w:val="1F5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25"/>
  </w:num>
  <w:num w:numId="11">
    <w:abstractNumId w:val="39"/>
  </w:num>
  <w:num w:numId="12">
    <w:abstractNumId w:val="40"/>
  </w:num>
  <w:num w:numId="13">
    <w:abstractNumId w:val="36"/>
  </w:num>
  <w:num w:numId="14">
    <w:abstractNumId w:val="13"/>
  </w:num>
  <w:num w:numId="15">
    <w:abstractNumId w:val="44"/>
  </w:num>
  <w:num w:numId="16">
    <w:abstractNumId w:val="29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7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8"/>
  </w:num>
  <w:num w:numId="41">
    <w:abstractNumId w:val="16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14255"/>
    <w:rsid w:val="00021769"/>
    <w:rsid w:val="000223E2"/>
    <w:rsid w:val="000246A7"/>
    <w:rsid w:val="000506DE"/>
    <w:rsid w:val="00060DF7"/>
    <w:rsid w:val="00086CBF"/>
    <w:rsid w:val="00090392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2027A3"/>
    <w:rsid w:val="00230159"/>
    <w:rsid w:val="00240D7B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B7FF6"/>
    <w:rsid w:val="002C037F"/>
    <w:rsid w:val="002C2A81"/>
    <w:rsid w:val="002F5D70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5889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72531"/>
    <w:rsid w:val="00675EE9"/>
    <w:rsid w:val="00676AB3"/>
    <w:rsid w:val="00680D38"/>
    <w:rsid w:val="006818C0"/>
    <w:rsid w:val="00687A00"/>
    <w:rsid w:val="006951E4"/>
    <w:rsid w:val="00695C46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2B8C"/>
    <w:rsid w:val="00824F6C"/>
    <w:rsid w:val="008452BC"/>
    <w:rsid w:val="00845A6B"/>
    <w:rsid w:val="00857CCC"/>
    <w:rsid w:val="0087187D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8F43EA"/>
    <w:rsid w:val="00900E33"/>
    <w:rsid w:val="009050E4"/>
    <w:rsid w:val="00906BC9"/>
    <w:rsid w:val="00913A29"/>
    <w:rsid w:val="009204BB"/>
    <w:rsid w:val="00926189"/>
    <w:rsid w:val="00926C8E"/>
    <w:rsid w:val="00936B72"/>
    <w:rsid w:val="00953043"/>
    <w:rsid w:val="00962CD0"/>
    <w:rsid w:val="009647D4"/>
    <w:rsid w:val="00966566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43ABC"/>
    <w:rsid w:val="00B475DD"/>
    <w:rsid w:val="00B47AAD"/>
    <w:rsid w:val="00B54A97"/>
    <w:rsid w:val="00B61DA2"/>
    <w:rsid w:val="00B62635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75E6"/>
    <w:rsid w:val="00EF2157"/>
    <w:rsid w:val="00F058FB"/>
    <w:rsid w:val="00F07F6B"/>
    <w:rsid w:val="00F12796"/>
    <w:rsid w:val="00F163E7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DE0F-76F9-4070-9DE5-A5D88AA9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9</Pages>
  <Words>3294</Words>
  <Characters>18778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Порядок </vt:lpstr>
      <vt:lpstr>    принятия уведомлений, связанных                                                 </vt:lpstr>
      <vt:lpstr>    </vt:lpstr>
      <vt:lpstr>    </vt:lpstr>
      <vt:lpstr>    </vt:lpstr>
    </vt:vector>
  </TitlesOfParts>
  <Company/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33</cp:revision>
  <cp:lastPrinted>2022-12-20T07:38:00Z</cp:lastPrinted>
  <dcterms:created xsi:type="dcterms:W3CDTF">2021-05-14T14:50:00Z</dcterms:created>
  <dcterms:modified xsi:type="dcterms:W3CDTF">2022-12-20T07:44:00Z</dcterms:modified>
</cp:coreProperties>
</file>